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33B6E" w14:textId="77777777" w:rsidR="00763174" w:rsidRDefault="00763174" w:rsidP="00493823">
      <w:pPr>
        <w:rPr>
          <w:rFonts w:ascii="Calibri" w:hAnsi="Calibri"/>
          <w:lang w:val="en-IE"/>
        </w:rPr>
      </w:pPr>
    </w:p>
    <w:p w14:paraId="597BC33A" w14:textId="77777777" w:rsidR="002D01BA" w:rsidRPr="002D01BA" w:rsidRDefault="002D01BA" w:rsidP="002D01BA">
      <w:pPr>
        <w:spacing w:after="160" w:line="259" w:lineRule="auto"/>
        <w:jc w:val="center"/>
        <w:rPr>
          <w:rFonts w:ascii="Calibri" w:eastAsia="Calibri" w:hAnsi="Calibri"/>
          <w:b/>
          <w:sz w:val="22"/>
          <w:szCs w:val="22"/>
          <w:lang w:val="en-US"/>
        </w:rPr>
      </w:pPr>
      <w:r w:rsidRPr="002D01BA">
        <w:rPr>
          <w:rFonts w:ascii="Calibri" w:eastAsia="Calibri" w:hAnsi="Calibri"/>
          <w:b/>
          <w:sz w:val="22"/>
          <w:szCs w:val="22"/>
          <w:lang w:val="en-US"/>
        </w:rPr>
        <w:t>Guidelines for Off Books with Assessment (OBA)</w:t>
      </w:r>
    </w:p>
    <w:p w14:paraId="7BFD60DB" w14:textId="77777777" w:rsidR="002D01BA" w:rsidRPr="002D01BA" w:rsidRDefault="002D01BA" w:rsidP="002D01BA">
      <w:pPr>
        <w:spacing w:after="160" w:line="259" w:lineRule="auto"/>
        <w:rPr>
          <w:rFonts w:ascii="Calibri" w:eastAsia="Calibri" w:hAnsi="Calibri"/>
          <w:sz w:val="22"/>
          <w:szCs w:val="22"/>
          <w:lang w:val="en-US"/>
        </w:rPr>
      </w:pPr>
      <w:r w:rsidRPr="002D01BA">
        <w:rPr>
          <w:rFonts w:ascii="Calibri" w:eastAsia="Calibri" w:hAnsi="Calibri"/>
          <w:sz w:val="22"/>
          <w:szCs w:val="22"/>
          <w:lang w:val="en-US"/>
        </w:rPr>
        <w:t xml:space="preserve">The following guidelines are for tutors, undergraduate students, chairs and members of Courts of First Appeal, and for other academic and administrative staff who are involved in the appeals process or in advising students. They are designed to articulate and clarify current practices and procedures in relation to OBA and, in this way, to provide greater transparency and to support consistency and fairness in decision making. </w:t>
      </w:r>
    </w:p>
    <w:p w14:paraId="4279BB21" w14:textId="77777777" w:rsidR="002D01BA" w:rsidRPr="002D01BA" w:rsidRDefault="002D01BA" w:rsidP="002D01BA">
      <w:pPr>
        <w:spacing w:after="160" w:line="259" w:lineRule="auto"/>
        <w:rPr>
          <w:rFonts w:ascii="Calibri" w:eastAsia="Calibri" w:hAnsi="Calibri"/>
          <w:sz w:val="22"/>
          <w:szCs w:val="22"/>
          <w:lang w:val="en-US"/>
        </w:rPr>
      </w:pPr>
      <w:r w:rsidRPr="002D01BA">
        <w:rPr>
          <w:rFonts w:ascii="Calibri" w:eastAsia="Calibri" w:hAnsi="Calibri"/>
          <w:sz w:val="22"/>
          <w:szCs w:val="22"/>
          <w:lang w:val="en-US"/>
        </w:rPr>
        <w:t xml:space="preserve">It should be noted at the outset that OBA is not an automatic right. An undergraduate student who cannot progress to the next year of study is returned as ‘Fail – Repeat Year’. This is the default position and may only be amended on the basis of a successful appeal brought by the student and their tutor. Decisions by Courts of Appeal or by the Senior Lecturer/Dean of Undergraduate Studies are made after full consideration of what is in the best academic interests of the student. </w:t>
      </w:r>
    </w:p>
    <w:p w14:paraId="530CA758" w14:textId="77777777" w:rsidR="002D01BA" w:rsidRPr="002D01BA" w:rsidRDefault="002D01BA" w:rsidP="002D01BA">
      <w:pPr>
        <w:numPr>
          <w:ilvl w:val="0"/>
          <w:numId w:val="10"/>
        </w:numPr>
        <w:spacing w:after="160" w:line="259" w:lineRule="auto"/>
        <w:contextualSpacing/>
        <w:rPr>
          <w:rFonts w:ascii="Calibri" w:eastAsia="Calibri" w:hAnsi="Calibri"/>
          <w:sz w:val="22"/>
          <w:szCs w:val="22"/>
          <w:lang w:val="en-US"/>
        </w:rPr>
      </w:pPr>
      <w:r w:rsidRPr="002D01BA">
        <w:rPr>
          <w:rFonts w:ascii="Calibri" w:eastAsia="Calibri" w:hAnsi="Calibri"/>
          <w:sz w:val="22"/>
          <w:szCs w:val="22"/>
          <w:lang w:val="en-US"/>
        </w:rPr>
        <w:t>Procedures for requesting OBA</w:t>
      </w:r>
    </w:p>
    <w:p w14:paraId="277CCA50" w14:textId="77777777" w:rsidR="002D01BA" w:rsidRPr="002D01BA" w:rsidRDefault="002D01BA" w:rsidP="002D01BA">
      <w:pPr>
        <w:spacing w:after="160" w:line="259" w:lineRule="auto"/>
        <w:ind w:left="1080"/>
        <w:rPr>
          <w:rFonts w:ascii="Calibri" w:eastAsia="Calibri" w:hAnsi="Calibri"/>
          <w:sz w:val="22"/>
          <w:szCs w:val="22"/>
          <w:lang w:val="en-US"/>
        </w:rPr>
      </w:pPr>
      <w:r w:rsidRPr="002D01BA">
        <w:rPr>
          <w:rFonts w:ascii="Calibri" w:eastAsia="Calibri" w:hAnsi="Calibri"/>
          <w:sz w:val="22"/>
          <w:szCs w:val="22"/>
          <w:lang w:val="en-US"/>
        </w:rPr>
        <w:t xml:space="preserve">A case for Off Books with Assessment must be made via the student’s College tutor to a Court of First Appeal or to Academic Appeals (NB As with other appeal requests, Academic Appeals should not be the first Court to which the request is made). A request may also be made directly to the Senior Lecturer/Dean of Undergraduate Studies and will be dealt with as a student case.     </w:t>
      </w:r>
    </w:p>
    <w:p w14:paraId="796A35C0" w14:textId="77777777" w:rsidR="002D01BA" w:rsidRPr="002D01BA" w:rsidRDefault="002D01BA" w:rsidP="002D01BA">
      <w:pPr>
        <w:spacing w:after="160" w:line="259" w:lineRule="auto"/>
        <w:ind w:left="1080"/>
        <w:rPr>
          <w:rFonts w:ascii="Calibri" w:eastAsia="Calibri" w:hAnsi="Calibri"/>
          <w:sz w:val="22"/>
          <w:szCs w:val="22"/>
          <w:lang w:val="en-US"/>
        </w:rPr>
      </w:pPr>
      <w:r w:rsidRPr="002D01BA">
        <w:rPr>
          <w:rFonts w:ascii="Calibri" w:eastAsia="Calibri" w:hAnsi="Calibri"/>
          <w:sz w:val="22"/>
          <w:szCs w:val="22"/>
        </w:rPr>
        <w:t>When submitting a request for OBA to the Senior Lecturer / Dean of Undergraduate Studies as a student case, the Off-books Student Case Template should be used.</w:t>
      </w:r>
    </w:p>
    <w:p w14:paraId="7A9D0D05" w14:textId="77777777" w:rsidR="002D01BA" w:rsidRPr="002D01BA" w:rsidRDefault="002D01BA" w:rsidP="002D01BA">
      <w:pPr>
        <w:numPr>
          <w:ilvl w:val="0"/>
          <w:numId w:val="10"/>
        </w:numPr>
        <w:spacing w:after="160" w:line="259" w:lineRule="auto"/>
        <w:contextualSpacing/>
        <w:rPr>
          <w:rFonts w:ascii="Calibri" w:eastAsia="Calibri" w:hAnsi="Calibri"/>
          <w:sz w:val="22"/>
          <w:szCs w:val="22"/>
          <w:lang w:val="en-US"/>
        </w:rPr>
      </w:pPr>
      <w:r w:rsidRPr="002D01BA">
        <w:rPr>
          <w:rFonts w:ascii="Calibri" w:eastAsia="Calibri" w:hAnsi="Calibri"/>
          <w:sz w:val="22"/>
          <w:szCs w:val="22"/>
          <w:lang w:val="en-US"/>
        </w:rPr>
        <w:t>Grounds for requesting OBA</w:t>
      </w:r>
    </w:p>
    <w:p w14:paraId="760965D6" w14:textId="77777777" w:rsidR="002D01BA" w:rsidRPr="002D01BA" w:rsidRDefault="002D01BA" w:rsidP="002D01BA">
      <w:pPr>
        <w:spacing w:after="160" w:line="259" w:lineRule="auto"/>
        <w:ind w:left="1080"/>
        <w:contextualSpacing/>
        <w:rPr>
          <w:rFonts w:ascii="Calibri" w:eastAsia="Calibri" w:hAnsi="Calibri"/>
          <w:sz w:val="22"/>
          <w:szCs w:val="22"/>
          <w:lang w:val="en-US"/>
        </w:rPr>
      </w:pPr>
    </w:p>
    <w:p w14:paraId="6194A7AB" w14:textId="77777777" w:rsidR="002D01BA" w:rsidRPr="002D01BA" w:rsidRDefault="002D01BA" w:rsidP="002D01BA">
      <w:pPr>
        <w:spacing w:after="160" w:line="259" w:lineRule="auto"/>
        <w:ind w:left="1080"/>
        <w:contextualSpacing/>
        <w:rPr>
          <w:rFonts w:ascii="Calibri" w:eastAsia="Calibri" w:hAnsi="Calibri"/>
          <w:sz w:val="22"/>
          <w:szCs w:val="22"/>
          <w:lang w:val="en-US"/>
        </w:rPr>
      </w:pPr>
      <w:r w:rsidRPr="002D01BA">
        <w:rPr>
          <w:rFonts w:ascii="Calibri" w:eastAsia="Calibri" w:hAnsi="Calibri"/>
          <w:sz w:val="22"/>
          <w:szCs w:val="22"/>
          <w:lang w:val="en-US"/>
        </w:rPr>
        <w:t xml:space="preserve">OBA may be requested on medical, financial or other ad </w:t>
      </w:r>
      <w:proofErr w:type="spellStart"/>
      <w:r w:rsidRPr="002D01BA">
        <w:rPr>
          <w:rFonts w:ascii="Calibri" w:eastAsia="Calibri" w:hAnsi="Calibri"/>
          <w:sz w:val="22"/>
          <w:szCs w:val="22"/>
          <w:lang w:val="en-US"/>
        </w:rPr>
        <w:t>misericordiam</w:t>
      </w:r>
      <w:proofErr w:type="spellEnd"/>
      <w:r w:rsidRPr="002D01BA">
        <w:rPr>
          <w:rFonts w:ascii="Calibri" w:eastAsia="Calibri" w:hAnsi="Calibri"/>
          <w:sz w:val="22"/>
          <w:szCs w:val="22"/>
          <w:lang w:val="en-US"/>
        </w:rPr>
        <w:t xml:space="preserve"> grounds. There are clear guidelines on exceptional circumstances supporting an ad </w:t>
      </w:r>
      <w:proofErr w:type="spellStart"/>
      <w:r w:rsidRPr="002D01BA">
        <w:rPr>
          <w:rFonts w:ascii="Calibri" w:eastAsia="Calibri" w:hAnsi="Calibri"/>
          <w:sz w:val="22"/>
          <w:szCs w:val="22"/>
          <w:lang w:val="en-US"/>
        </w:rPr>
        <w:t>misericordiam</w:t>
      </w:r>
      <w:proofErr w:type="spellEnd"/>
      <w:r w:rsidRPr="002D01BA">
        <w:rPr>
          <w:rFonts w:ascii="Calibri" w:eastAsia="Calibri" w:hAnsi="Calibri"/>
          <w:sz w:val="22"/>
          <w:szCs w:val="22"/>
          <w:lang w:val="en-US"/>
        </w:rPr>
        <w:t xml:space="preserve"> appeal and these are available </w:t>
      </w:r>
      <w:proofErr w:type="gramStart"/>
      <w:r w:rsidRPr="002D01BA">
        <w:rPr>
          <w:rFonts w:ascii="Calibri" w:eastAsia="Calibri" w:hAnsi="Calibri"/>
          <w:sz w:val="22"/>
          <w:szCs w:val="22"/>
          <w:lang w:val="en-US"/>
        </w:rPr>
        <w:t xml:space="preserve">at  </w:t>
      </w:r>
      <w:proofErr w:type="gramEnd"/>
      <w:hyperlink r:id="rId7" w:history="1">
        <w:r w:rsidRPr="002D01BA">
          <w:rPr>
            <w:rFonts w:ascii="Calibri" w:eastAsia="Calibri" w:hAnsi="Calibri"/>
            <w:color w:val="0563C1"/>
            <w:sz w:val="22"/>
            <w:szCs w:val="22"/>
            <w:u w:val="single"/>
            <w:lang w:val="en-US"/>
          </w:rPr>
          <w:t>https://www.tcd.ie/undergraduate-studies/assets/documents/Exceptional%20Circumstances%2026-02-16.pdf</w:t>
        </w:r>
      </w:hyperlink>
      <w:r w:rsidRPr="002D01BA">
        <w:rPr>
          <w:rFonts w:ascii="Calibri" w:eastAsia="Calibri" w:hAnsi="Calibri"/>
          <w:sz w:val="22"/>
          <w:szCs w:val="22"/>
          <w:lang w:val="en-US"/>
        </w:rPr>
        <w:t xml:space="preserve"> . Students seeking OBA are also required to furnish evidence in support of their request. The guidelines for the types of evidence that must be furnished are available at </w:t>
      </w:r>
      <w:hyperlink r:id="rId8" w:history="1">
        <w:r w:rsidRPr="002D01BA">
          <w:rPr>
            <w:rFonts w:ascii="Calibri" w:eastAsia="Calibri" w:hAnsi="Calibri"/>
            <w:color w:val="0563C1"/>
            <w:sz w:val="22"/>
            <w:szCs w:val="22"/>
            <w:u w:val="single"/>
            <w:lang w:val="en-US"/>
          </w:rPr>
          <w:t>https://www.tcd.ie/undergraduate-studies/assets/documents/Evidence_Support_ad_mis_Appeal_19-04-2017.pdf</w:t>
        </w:r>
      </w:hyperlink>
    </w:p>
    <w:p w14:paraId="1EF13EBD" w14:textId="77777777" w:rsidR="002D01BA" w:rsidRPr="002D01BA" w:rsidRDefault="002D01BA" w:rsidP="002D01BA">
      <w:pPr>
        <w:spacing w:after="160" w:line="259" w:lineRule="auto"/>
        <w:ind w:left="1080"/>
        <w:contextualSpacing/>
        <w:rPr>
          <w:rFonts w:ascii="Calibri" w:eastAsia="Calibri" w:hAnsi="Calibri"/>
          <w:sz w:val="22"/>
          <w:szCs w:val="22"/>
          <w:lang w:val="en-US"/>
        </w:rPr>
      </w:pPr>
    </w:p>
    <w:p w14:paraId="2800968D" w14:textId="77777777" w:rsidR="002D01BA" w:rsidRPr="002D01BA" w:rsidRDefault="002D01BA" w:rsidP="002D01BA">
      <w:pPr>
        <w:numPr>
          <w:ilvl w:val="0"/>
          <w:numId w:val="10"/>
        </w:numPr>
        <w:spacing w:after="160" w:line="259" w:lineRule="auto"/>
        <w:contextualSpacing/>
        <w:rPr>
          <w:rFonts w:ascii="Calibri" w:eastAsia="Calibri" w:hAnsi="Calibri"/>
          <w:sz w:val="22"/>
          <w:szCs w:val="22"/>
          <w:lang w:val="en-US"/>
        </w:rPr>
      </w:pPr>
      <w:r w:rsidRPr="002D01BA">
        <w:rPr>
          <w:rFonts w:ascii="Calibri" w:eastAsia="Calibri" w:hAnsi="Calibri"/>
          <w:sz w:val="22"/>
          <w:szCs w:val="22"/>
          <w:lang w:val="en-US"/>
        </w:rPr>
        <w:t>Number and type of modules that may be repeated OBA</w:t>
      </w:r>
    </w:p>
    <w:p w14:paraId="399C7A69" w14:textId="77777777" w:rsidR="002D01BA" w:rsidRPr="002D01BA" w:rsidRDefault="002D01BA" w:rsidP="002D01BA">
      <w:pPr>
        <w:spacing w:after="160" w:line="259" w:lineRule="auto"/>
        <w:ind w:left="1080"/>
        <w:contextualSpacing/>
        <w:rPr>
          <w:rFonts w:ascii="Calibri" w:eastAsia="Calibri" w:hAnsi="Calibri"/>
          <w:sz w:val="22"/>
          <w:szCs w:val="22"/>
          <w:lang w:val="en-US"/>
        </w:rPr>
      </w:pPr>
    </w:p>
    <w:p w14:paraId="4310EA28" w14:textId="77777777" w:rsidR="002D01BA" w:rsidRPr="002D01BA" w:rsidRDefault="002D01BA" w:rsidP="002D01BA">
      <w:pPr>
        <w:spacing w:after="160" w:line="259" w:lineRule="auto"/>
        <w:ind w:left="1080"/>
        <w:contextualSpacing/>
        <w:rPr>
          <w:rFonts w:ascii="Calibri" w:eastAsia="Calibri" w:hAnsi="Calibri"/>
          <w:sz w:val="22"/>
          <w:szCs w:val="22"/>
          <w:lang w:val="en-US"/>
        </w:rPr>
      </w:pPr>
      <w:r w:rsidRPr="002D01BA">
        <w:rPr>
          <w:rFonts w:ascii="Calibri" w:eastAsia="Calibri" w:hAnsi="Calibri"/>
          <w:sz w:val="22"/>
          <w:szCs w:val="22"/>
          <w:lang w:val="en-US"/>
        </w:rPr>
        <w:t xml:space="preserve">In the academic interests of the student, no more than three modules, not exceeding 20 ECTS, may normally be repeated off books.  Certain modules may not be suitable for repeating off books: this is a matter for the </w:t>
      </w:r>
      <w:proofErr w:type="spellStart"/>
      <w:r w:rsidRPr="002D01BA">
        <w:rPr>
          <w:rFonts w:ascii="Calibri" w:eastAsia="Calibri" w:hAnsi="Calibri"/>
          <w:sz w:val="22"/>
          <w:szCs w:val="22"/>
          <w:lang w:val="en-US"/>
        </w:rPr>
        <w:t>programme</w:t>
      </w:r>
      <w:proofErr w:type="spellEnd"/>
      <w:r w:rsidRPr="002D01BA">
        <w:rPr>
          <w:rFonts w:ascii="Calibri" w:eastAsia="Calibri" w:hAnsi="Calibri"/>
          <w:sz w:val="22"/>
          <w:szCs w:val="22"/>
          <w:lang w:val="en-US"/>
        </w:rPr>
        <w:t xml:space="preserve">/subject to determine. </w:t>
      </w:r>
    </w:p>
    <w:p w14:paraId="7AF3DC77" w14:textId="77777777" w:rsidR="002D01BA" w:rsidRPr="002D01BA" w:rsidRDefault="002D01BA" w:rsidP="002D01BA">
      <w:pPr>
        <w:spacing w:after="160" w:line="259" w:lineRule="auto"/>
        <w:ind w:left="720"/>
        <w:contextualSpacing/>
        <w:rPr>
          <w:rFonts w:ascii="Calibri" w:eastAsia="Calibri" w:hAnsi="Calibri"/>
          <w:sz w:val="22"/>
          <w:szCs w:val="22"/>
          <w:lang w:val="en-US"/>
        </w:rPr>
      </w:pPr>
    </w:p>
    <w:p w14:paraId="785DBC8F" w14:textId="77777777" w:rsidR="002D01BA" w:rsidRPr="002D01BA" w:rsidRDefault="002D01BA" w:rsidP="002D01BA">
      <w:pPr>
        <w:spacing w:after="160" w:line="259" w:lineRule="auto"/>
        <w:ind w:left="1080"/>
        <w:contextualSpacing/>
        <w:rPr>
          <w:rFonts w:ascii="Calibri" w:eastAsia="Calibri" w:hAnsi="Calibri"/>
          <w:sz w:val="22"/>
          <w:szCs w:val="22"/>
          <w:lang w:val="en-US"/>
        </w:rPr>
      </w:pPr>
    </w:p>
    <w:p w14:paraId="3F17B98D" w14:textId="77777777" w:rsidR="002D01BA" w:rsidRPr="002D01BA" w:rsidRDefault="002D01BA" w:rsidP="002D01BA">
      <w:pPr>
        <w:numPr>
          <w:ilvl w:val="0"/>
          <w:numId w:val="10"/>
        </w:numPr>
        <w:spacing w:after="160" w:line="259" w:lineRule="auto"/>
        <w:contextualSpacing/>
        <w:rPr>
          <w:rFonts w:ascii="Calibri" w:eastAsia="Calibri" w:hAnsi="Calibri"/>
          <w:sz w:val="22"/>
          <w:szCs w:val="22"/>
          <w:lang w:val="en-US"/>
        </w:rPr>
      </w:pPr>
      <w:r w:rsidRPr="002D01BA">
        <w:rPr>
          <w:rFonts w:ascii="Calibri" w:eastAsia="Calibri" w:hAnsi="Calibri"/>
          <w:sz w:val="22"/>
          <w:szCs w:val="22"/>
          <w:lang w:val="en-US"/>
        </w:rPr>
        <w:t>Status of a student who is OBA</w:t>
      </w:r>
    </w:p>
    <w:p w14:paraId="0C363CF4" w14:textId="77777777" w:rsidR="002D01BA" w:rsidRPr="002D01BA" w:rsidRDefault="002D01BA" w:rsidP="002D01BA">
      <w:pPr>
        <w:spacing w:after="160" w:line="259" w:lineRule="auto"/>
        <w:ind w:left="1080"/>
        <w:contextualSpacing/>
        <w:rPr>
          <w:rFonts w:ascii="Calibri" w:eastAsia="Calibri" w:hAnsi="Calibri"/>
          <w:sz w:val="22"/>
          <w:szCs w:val="22"/>
          <w:lang w:val="en-US"/>
        </w:rPr>
      </w:pPr>
      <w:r w:rsidRPr="002D01BA">
        <w:rPr>
          <w:rFonts w:ascii="Calibri" w:eastAsia="Calibri" w:hAnsi="Calibri"/>
          <w:sz w:val="22"/>
          <w:szCs w:val="22"/>
          <w:lang w:val="en-US"/>
        </w:rPr>
        <w:t xml:space="preserve"> </w:t>
      </w:r>
    </w:p>
    <w:p w14:paraId="17CD113E" w14:textId="77777777" w:rsidR="002D01BA" w:rsidRPr="002D01BA" w:rsidRDefault="002D01BA" w:rsidP="002D01BA">
      <w:pPr>
        <w:spacing w:after="160" w:line="259" w:lineRule="auto"/>
        <w:ind w:left="1080"/>
        <w:contextualSpacing/>
        <w:rPr>
          <w:rFonts w:ascii="Calibri" w:eastAsia="Calibri" w:hAnsi="Calibri"/>
          <w:sz w:val="22"/>
          <w:szCs w:val="22"/>
          <w:lang w:val="en-US"/>
        </w:rPr>
      </w:pPr>
      <w:r w:rsidRPr="002D01BA">
        <w:rPr>
          <w:rFonts w:ascii="Calibri" w:eastAsia="Calibri" w:hAnsi="Calibri"/>
          <w:sz w:val="22"/>
          <w:szCs w:val="22"/>
          <w:lang w:val="en-US"/>
        </w:rPr>
        <w:t xml:space="preserve">A student who is granted OBA is not a registered student during that year. However, they retain their computer account and email; they have access to Blackboard; they can obtain a reader’s ticket for the Library (without borrowing rights); and they have limited access to Student Services such as Student Counselling. </w:t>
      </w:r>
    </w:p>
    <w:p w14:paraId="311B3EA2" w14:textId="77777777" w:rsidR="002D01BA" w:rsidRPr="002D01BA" w:rsidRDefault="002D01BA" w:rsidP="002D01BA">
      <w:pPr>
        <w:spacing w:after="160" w:line="259" w:lineRule="auto"/>
        <w:ind w:left="1080"/>
        <w:contextualSpacing/>
        <w:rPr>
          <w:rFonts w:ascii="Calibri" w:eastAsia="Calibri" w:hAnsi="Calibri"/>
          <w:sz w:val="22"/>
          <w:szCs w:val="22"/>
          <w:lang w:val="en-US"/>
        </w:rPr>
      </w:pPr>
    </w:p>
    <w:p w14:paraId="7D3E8EC9" w14:textId="77777777" w:rsidR="002D01BA" w:rsidRPr="002D01BA" w:rsidRDefault="002D01BA" w:rsidP="002D01BA">
      <w:pPr>
        <w:numPr>
          <w:ilvl w:val="0"/>
          <w:numId w:val="10"/>
        </w:numPr>
        <w:spacing w:after="160" w:line="259" w:lineRule="auto"/>
        <w:contextualSpacing/>
        <w:rPr>
          <w:rFonts w:ascii="Calibri" w:eastAsia="Calibri" w:hAnsi="Calibri"/>
          <w:sz w:val="22"/>
          <w:szCs w:val="22"/>
          <w:lang w:val="en-US"/>
        </w:rPr>
      </w:pPr>
      <w:r w:rsidRPr="002D01BA">
        <w:rPr>
          <w:rFonts w:ascii="Calibri" w:eastAsia="Calibri" w:hAnsi="Calibri"/>
          <w:sz w:val="22"/>
          <w:szCs w:val="22"/>
          <w:lang w:val="en-US"/>
        </w:rPr>
        <w:t>What does the student repeat?</w:t>
      </w:r>
    </w:p>
    <w:p w14:paraId="63F8AF3A" w14:textId="77777777" w:rsidR="002D01BA" w:rsidRPr="002D01BA" w:rsidRDefault="002D01BA" w:rsidP="002D01BA">
      <w:pPr>
        <w:spacing w:after="160" w:line="259" w:lineRule="auto"/>
        <w:ind w:left="1080"/>
        <w:contextualSpacing/>
        <w:rPr>
          <w:rFonts w:ascii="Calibri" w:eastAsia="Calibri" w:hAnsi="Calibri"/>
          <w:sz w:val="22"/>
          <w:szCs w:val="22"/>
          <w:lang w:val="en-US"/>
        </w:rPr>
      </w:pPr>
      <w:r w:rsidRPr="002D01BA">
        <w:rPr>
          <w:rFonts w:ascii="Calibri" w:eastAsia="Calibri" w:hAnsi="Calibri"/>
          <w:sz w:val="22"/>
          <w:szCs w:val="22"/>
          <w:lang w:val="en-US"/>
        </w:rPr>
        <w:t xml:space="preserve">It is the expectation that a student who is repeating a module off books will be reassessed in   all the learning outcomes of the module that they have failed. They are assessed on the content of the module as delivered in the year, in which they took it.  </w:t>
      </w:r>
    </w:p>
    <w:p w14:paraId="566727CC" w14:textId="77777777" w:rsidR="002D01BA" w:rsidRPr="002D01BA" w:rsidRDefault="002D01BA" w:rsidP="002D01BA">
      <w:pPr>
        <w:spacing w:after="160" w:line="259" w:lineRule="auto"/>
        <w:ind w:left="720"/>
        <w:contextualSpacing/>
        <w:rPr>
          <w:rFonts w:ascii="Calibri" w:eastAsia="Calibri" w:hAnsi="Calibri"/>
          <w:sz w:val="22"/>
          <w:szCs w:val="22"/>
          <w:lang w:val="en-US"/>
        </w:rPr>
      </w:pPr>
    </w:p>
    <w:p w14:paraId="4E6EB43F" w14:textId="77777777" w:rsidR="002D01BA" w:rsidRPr="002D01BA" w:rsidRDefault="002D01BA" w:rsidP="002D01BA">
      <w:pPr>
        <w:numPr>
          <w:ilvl w:val="0"/>
          <w:numId w:val="10"/>
        </w:numPr>
        <w:spacing w:after="160" w:line="259" w:lineRule="auto"/>
        <w:contextualSpacing/>
        <w:rPr>
          <w:rFonts w:ascii="Calibri" w:eastAsia="Calibri" w:hAnsi="Calibri"/>
          <w:sz w:val="22"/>
          <w:szCs w:val="22"/>
          <w:lang w:val="en-US"/>
        </w:rPr>
      </w:pPr>
      <w:r w:rsidRPr="002D01BA">
        <w:rPr>
          <w:rFonts w:ascii="Calibri" w:eastAsia="Calibri" w:hAnsi="Calibri"/>
          <w:sz w:val="22"/>
          <w:szCs w:val="22"/>
          <w:lang w:val="en-US"/>
        </w:rPr>
        <w:t xml:space="preserve">Status of OBA </w:t>
      </w:r>
    </w:p>
    <w:p w14:paraId="0805A763" w14:textId="77777777" w:rsidR="002D01BA" w:rsidRPr="002D01BA" w:rsidRDefault="002D01BA" w:rsidP="002D01BA">
      <w:pPr>
        <w:spacing w:after="160" w:line="259" w:lineRule="auto"/>
        <w:ind w:left="1080"/>
        <w:contextualSpacing/>
        <w:rPr>
          <w:rFonts w:ascii="Calibri" w:eastAsia="Calibri" w:hAnsi="Calibri"/>
          <w:sz w:val="22"/>
          <w:szCs w:val="22"/>
          <w:lang w:val="en-US"/>
        </w:rPr>
      </w:pPr>
    </w:p>
    <w:p w14:paraId="5BF333EA" w14:textId="77777777" w:rsidR="002D01BA" w:rsidRDefault="002D01BA" w:rsidP="002D01BA">
      <w:pPr>
        <w:spacing w:after="160" w:line="259" w:lineRule="auto"/>
        <w:ind w:left="1080"/>
        <w:contextualSpacing/>
        <w:rPr>
          <w:rFonts w:ascii="Calibri" w:eastAsia="Calibri" w:hAnsi="Calibri"/>
          <w:sz w:val="22"/>
          <w:szCs w:val="22"/>
          <w:lang w:val="en-US"/>
        </w:rPr>
      </w:pPr>
      <w:r w:rsidRPr="002D01BA">
        <w:rPr>
          <w:rFonts w:ascii="Calibri" w:eastAsia="Calibri" w:hAnsi="Calibri"/>
          <w:sz w:val="22"/>
          <w:szCs w:val="22"/>
          <w:lang w:val="en-US"/>
        </w:rPr>
        <w:t xml:space="preserve">Repeating OBA counts as a repeat year.   </w:t>
      </w:r>
    </w:p>
    <w:p w14:paraId="4FCA0BB3" w14:textId="77777777" w:rsidR="00035803" w:rsidRDefault="00035803" w:rsidP="002D01BA">
      <w:pPr>
        <w:spacing w:after="160" w:line="259" w:lineRule="auto"/>
        <w:ind w:left="1080"/>
        <w:contextualSpacing/>
        <w:rPr>
          <w:rFonts w:ascii="Calibri" w:eastAsia="Calibri" w:hAnsi="Calibri"/>
          <w:sz w:val="22"/>
          <w:szCs w:val="22"/>
          <w:lang w:val="en-US"/>
        </w:rPr>
      </w:pPr>
    </w:p>
    <w:p w14:paraId="152FA3C7" w14:textId="77777777" w:rsidR="00035803" w:rsidRDefault="00035803" w:rsidP="002D01BA">
      <w:pPr>
        <w:spacing w:after="160" w:line="259" w:lineRule="auto"/>
        <w:ind w:left="1080"/>
        <w:contextualSpacing/>
        <w:rPr>
          <w:rFonts w:ascii="Calibri" w:eastAsia="Calibri" w:hAnsi="Calibri"/>
          <w:sz w:val="22"/>
          <w:szCs w:val="22"/>
          <w:lang w:val="en-US"/>
        </w:rPr>
      </w:pPr>
    </w:p>
    <w:p w14:paraId="5FAAC349" w14:textId="77777777" w:rsidR="00035803" w:rsidRDefault="00035803" w:rsidP="002D01BA">
      <w:pPr>
        <w:spacing w:after="160" w:line="259" w:lineRule="auto"/>
        <w:ind w:left="1080"/>
        <w:contextualSpacing/>
        <w:rPr>
          <w:rFonts w:ascii="Calibri" w:eastAsia="Calibri" w:hAnsi="Calibri"/>
          <w:sz w:val="22"/>
          <w:szCs w:val="22"/>
          <w:lang w:val="en-US"/>
        </w:rPr>
      </w:pPr>
    </w:p>
    <w:p w14:paraId="3512B7FD" w14:textId="54689566" w:rsidR="00035803" w:rsidRPr="002D01BA" w:rsidRDefault="004A0617" w:rsidP="002D01BA">
      <w:pPr>
        <w:spacing w:after="160" w:line="259" w:lineRule="auto"/>
        <w:ind w:left="1080"/>
        <w:contextualSpacing/>
        <w:rPr>
          <w:rFonts w:ascii="Calibri" w:eastAsia="Calibri" w:hAnsi="Calibri"/>
          <w:sz w:val="22"/>
          <w:szCs w:val="22"/>
          <w:lang w:val="en-US"/>
        </w:rPr>
      </w:pPr>
      <w:r>
        <w:rPr>
          <w:rFonts w:ascii="Calibri" w:eastAsia="Calibri" w:hAnsi="Calibri"/>
          <w:sz w:val="22"/>
          <w:szCs w:val="22"/>
          <w:lang w:val="en-US"/>
        </w:rPr>
        <w:t>May</w:t>
      </w:r>
      <w:bookmarkStart w:id="0" w:name="_GoBack"/>
      <w:bookmarkEnd w:id="0"/>
      <w:r w:rsidR="00035803">
        <w:rPr>
          <w:rFonts w:ascii="Calibri" w:eastAsia="Calibri" w:hAnsi="Calibri"/>
          <w:sz w:val="22"/>
          <w:szCs w:val="22"/>
          <w:lang w:val="en-US"/>
        </w:rPr>
        <w:t xml:space="preserve"> 2018</w:t>
      </w:r>
    </w:p>
    <w:p w14:paraId="1C1B85A1" w14:textId="77777777" w:rsidR="002D01BA" w:rsidRPr="00804AC2" w:rsidRDefault="002D01BA" w:rsidP="00493823">
      <w:pPr>
        <w:rPr>
          <w:rFonts w:ascii="Calibri" w:hAnsi="Calibri"/>
          <w:lang w:val="en-IE"/>
        </w:rPr>
      </w:pPr>
    </w:p>
    <w:p w14:paraId="66E2415C" w14:textId="77777777" w:rsidR="00493823" w:rsidRPr="00804AC2" w:rsidRDefault="00493823" w:rsidP="00493823">
      <w:pPr>
        <w:rPr>
          <w:rFonts w:ascii="Calibri" w:hAnsi="Calibri"/>
          <w:lang w:val="en-IE"/>
        </w:rPr>
      </w:pPr>
    </w:p>
    <w:p w14:paraId="10F25864" w14:textId="77777777" w:rsidR="00493823" w:rsidRPr="00804AC2" w:rsidRDefault="00493823" w:rsidP="00493823">
      <w:pPr>
        <w:rPr>
          <w:rFonts w:ascii="Calibri" w:hAnsi="Calibri"/>
          <w:lang w:val="en-IE"/>
        </w:rPr>
      </w:pPr>
    </w:p>
    <w:sectPr w:rsidR="00493823" w:rsidRPr="00804AC2" w:rsidSect="009D517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09F87" w14:textId="77777777" w:rsidR="009C2E7D" w:rsidRDefault="009C2E7D" w:rsidP="00211B31">
      <w:r>
        <w:separator/>
      </w:r>
    </w:p>
  </w:endnote>
  <w:endnote w:type="continuationSeparator" w:id="0">
    <w:p w14:paraId="47EEFC9F" w14:textId="77777777" w:rsidR="009C2E7D" w:rsidRDefault="009C2E7D"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E251A" w14:textId="77777777" w:rsidR="00684CD8" w:rsidRDefault="00684C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724505"/>
      <w:docPartObj>
        <w:docPartGallery w:val="Page Numbers (Bottom of Page)"/>
        <w:docPartUnique/>
      </w:docPartObj>
    </w:sdtPr>
    <w:sdtEndPr>
      <w:rPr>
        <w:noProof/>
      </w:rPr>
    </w:sdtEndPr>
    <w:sdtContent>
      <w:p w14:paraId="1B0FE06C" w14:textId="77777777" w:rsidR="004528D8" w:rsidRDefault="004528D8">
        <w:pPr>
          <w:pStyle w:val="Footer"/>
          <w:jc w:val="center"/>
        </w:pPr>
        <w:r w:rsidRPr="004528D8">
          <w:rPr>
            <w:rFonts w:ascii="Calibri" w:hAnsi="Calibri"/>
          </w:rPr>
          <w:fldChar w:fldCharType="begin"/>
        </w:r>
        <w:r w:rsidRPr="004528D8">
          <w:rPr>
            <w:rFonts w:ascii="Calibri" w:hAnsi="Calibri"/>
          </w:rPr>
          <w:instrText xml:space="preserve"> PAGE   \* MERGEFORMAT </w:instrText>
        </w:r>
        <w:r w:rsidRPr="004528D8">
          <w:rPr>
            <w:rFonts w:ascii="Calibri" w:hAnsi="Calibri"/>
          </w:rPr>
          <w:fldChar w:fldCharType="separate"/>
        </w:r>
        <w:r w:rsidR="004A0617">
          <w:rPr>
            <w:rFonts w:ascii="Calibri" w:hAnsi="Calibri"/>
            <w:noProof/>
          </w:rPr>
          <w:t>2</w:t>
        </w:r>
        <w:r w:rsidRPr="004528D8">
          <w:rPr>
            <w:rFonts w:ascii="Calibri" w:hAnsi="Calibri"/>
            <w:noProof/>
          </w:rPr>
          <w:fldChar w:fldCharType="end"/>
        </w:r>
      </w:p>
    </w:sdtContent>
  </w:sdt>
  <w:p w14:paraId="4B214FF9" w14:textId="77777777" w:rsidR="00A27FBA" w:rsidRDefault="00A27F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749096"/>
      <w:docPartObj>
        <w:docPartGallery w:val="Page Numbers (Bottom of Page)"/>
        <w:docPartUnique/>
      </w:docPartObj>
    </w:sdtPr>
    <w:sdtEndPr>
      <w:rPr>
        <w:rFonts w:asciiTheme="minorHAnsi" w:hAnsiTheme="minorHAnsi"/>
        <w:noProof/>
      </w:rPr>
    </w:sdtEndPr>
    <w:sdtContent>
      <w:p w14:paraId="2F47E7AC" w14:textId="77777777" w:rsidR="00A27FBA" w:rsidRPr="00684CD8" w:rsidRDefault="00A27FBA">
        <w:pPr>
          <w:pStyle w:val="Footer"/>
          <w:jc w:val="center"/>
          <w:rPr>
            <w:rFonts w:asciiTheme="minorHAnsi" w:hAnsiTheme="minorHAnsi"/>
          </w:rPr>
        </w:pPr>
        <w:r w:rsidRPr="00684CD8">
          <w:rPr>
            <w:rFonts w:asciiTheme="minorHAnsi" w:hAnsiTheme="minorHAnsi"/>
          </w:rPr>
          <w:fldChar w:fldCharType="begin"/>
        </w:r>
        <w:r w:rsidRPr="00684CD8">
          <w:rPr>
            <w:rFonts w:asciiTheme="minorHAnsi" w:hAnsiTheme="minorHAnsi"/>
          </w:rPr>
          <w:instrText xml:space="preserve"> PAGE   \* MERGEFORMAT </w:instrText>
        </w:r>
        <w:r w:rsidRPr="00684CD8">
          <w:rPr>
            <w:rFonts w:asciiTheme="minorHAnsi" w:hAnsiTheme="minorHAnsi"/>
          </w:rPr>
          <w:fldChar w:fldCharType="separate"/>
        </w:r>
        <w:r w:rsidR="004A0617">
          <w:rPr>
            <w:rFonts w:asciiTheme="minorHAnsi" w:hAnsiTheme="minorHAnsi"/>
            <w:noProof/>
          </w:rPr>
          <w:t>1</w:t>
        </w:r>
        <w:r w:rsidRPr="00684CD8">
          <w:rPr>
            <w:rFonts w:asciiTheme="minorHAnsi" w:hAnsiTheme="minorHAnsi"/>
            <w:noProof/>
          </w:rPr>
          <w:fldChar w:fldCharType="end"/>
        </w:r>
      </w:p>
    </w:sdtContent>
  </w:sdt>
  <w:p w14:paraId="748F81CE" w14:textId="77777777" w:rsidR="00892B3C" w:rsidRDefault="00892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1CCC4" w14:textId="77777777" w:rsidR="009C2E7D" w:rsidRDefault="009C2E7D" w:rsidP="00211B31">
      <w:r>
        <w:separator/>
      </w:r>
    </w:p>
  </w:footnote>
  <w:footnote w:type="continuationSeparator" w:id="0">
    <w:p w14:paraId="5852FE60" w14:textId="77777777" w:rsidR="009C2E7D" w:rsidRDefault="009C2E7D" w:rsidP="0021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D4E8" w14:textId="77777777" w:rsidR="00684CD8" w:rsidRDefault="00684C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FC647" w14:textId="77777777" w:rsidR="00211B31" w:rsidRDefault="00211B31" w:rsidP="00913B51">
    <w:pPr>
      <w:pStyle w:val="Header"/>
      <w:ind w:left="-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B826B" w14:textId="77777777" w:rsidR="00763174" w:rsidRDefault="00763174" w:rsidP="007F31E6">
    <w:pPr>
      <w:pStyle w:val="Header"/>
      <w:ind w:left="-709"/>
    </w:pPr>
    <w:r w:rsidRPr="00EB2DAB">
      <w:rPr>
        <w:noProof/>
        <w:lang w:val="en-US"/>
      </w:rPr>
      <w:drawing>
        <wp:inline distT="0" distB="0" distL="0" distR="0" wp14:anchorId="5863E257" wp14:editId="0AEF047E">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D71727E"/>
    <w:multiLevelType w:val="hybridMultilevel"/>
    <w:tmpl w:val="F6248962"/>
    <w:lvl w:ilvl="0" w:tplc="2F7C343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31"/>
    <w:rsid w:val="00012D22"/>
    <w:rsid w:val="00035803"/>
    <w:rsid w:val="00035C84"/>
    <w:rsid w:val="00056ABF"/>
    <w:rsid w:val="00134BD0"/>
    <w:rsid w:val="00211B31"/>
    <w:rsid w:val="002D01BA"/>
    <w:rsid w:val="002E399A"/>
    <w:rsid w:val="00324A1B"/>
    <w:rsid w:val="003F0DD5"/>
    <w:rsid w:val="004528D8"/>
    <w:rsid w:val="00493823"/>
    <w:rsid w:val="004A0617"/>
    <w:rsid w:val="00510EC5"/>
    <w:rsid w:val="005303D4"/>
    <w:rsid w:val="00537BB8"/>
    <w:rsid w:val="0059743E"/>
    <w:rsid w:val="005F4485"/>
    <w:rsid w:val="006560F4"/>
    <w:rsid w:val="00684CD8"/>
    <w:rsid w:val="00687D13"/>
    <w:rsid w:val="006E273E"/>
    <w:rsid w:val="00763174"/>
    <w:rsid w:val="007A6564"/>
    <w:rsid w:val="007F31E6"/>
    <w:rsid w:val="00804AC2"/>
    <w:rsid w:val="008228E8"/>
    <w:rsid w:val="00847BCE"/>
    <w:rsid w:val="00892B3C"/>
    <w:rsid w:val="00913B51"/>
    <w:rsid w:val="009974BD"/>
    <w:rsid w:val="009C2E7D"/>
    <w:rsid w:val="009D5172"/>
    <w:rsid w:val="00A27FBA"/>
    <w:rsid w:val="00A86981"/>
    <w:rsid w:val="00AC1F43"/>
    <w:rsid w:val="00B057C5"/>
    <w:rsid w:val="00B13184"/>
    <w:rsid w:val="00B2721A"/>
    <w:rsid w:val="00B41678"/>
    <w:rsid w:val="00B64610"/>
    <w:rsid w:val="00C67C2B"/>
    <w:rsid w:val="00CE53D1"/>
    <w:rsid w:val="00D46724"/>
    <w:rsid w:val="00E51058"/>
    <w:rsid w:val="00E94E45"/>
    <w:rsid w:val="00EC4C8C"/>
    <w:rsid w:val="00EE1748"/>
    <w:rsid w:val="00F1260F"/>
    <w:rsid w:val="00F74A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F971B"/>
  <w15:docId w15:val="{F7A8F020-897E-471C-965D-7EB70037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74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semiHidden/>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undergraduate-studies/assets/documents/Evidence_Support_ad_mis_Appeal_19-04-2017.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cd.ie/undergraduate-studies/assets/documents/Exceptional%20Circumstances%2026-02-16.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Nicola Byrne</cp:lastModifiedBy>
  <cp:revision>4</cp:revision>
  <cp:lastPrinted>2015-04-01T08:39:00Z</cp:lastPrinted>
  <dcterms:created xsi:type="dcterms:W3CDTF">2018-05-23T16:16:00Z</dcterms:created>
  <dcterms:modified xsi:type="dcterms:W3CDTF">2018-06-05T15:07:00Z</dcterms:modified>
</cp:coreProperties>
</file>